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sz w:val="20"/>
          <w:szCs w:val="20"/>
        </w:rPr>
      </w:pPr>
      <w:r>
        <w:rPr>
          <w:rFonts w:cs="Arial" w:ascii="Arial" w:hAnsi="Arial"/>
          <w:sz w:val="20"/>
          <w:szCs w:val="20"/>
        </w:rPr>
      </w:r>
    </w:p>
    <w:p>
      <w:pPr>
        <w:pStyle w:val="Normal"/>
        <w:jc w:val="center"/>
        <w:rPr>
          <w:rFonts w:ascii="Arial" w:hAnsi="Arial" w:cs="Arial"/>
          <w:sz w:val="20"/>
          <w:szCs w:val="20"/>
        </w:rPr>
      </w:pPr>
      <w:r>
        <w:rPr>
          <w:rFonts w:cs="Arial" w:ascii="Arial" w:hAnsi="Arial"/>
          <w:sz w:val="20"/>
          <w:szCs w:val="20"/>
        </w:rPr>
      </w:r>
    </w:p>
    <w:p>
      <w:pPr>
        <w:pStyle w:val="Normal"/>
        <w:jc w:val="center"/>
        <w:rPr>
          <w:rFonts w:ascii="Arial" w:hAnsi="Arial" w:cs="Arial"/>
          <w:sz w:val="20"/>
          <w:szCs w:val="20"/>
        </w:rPr>
      </w:pPr>
      <w:r>
        <w:rPr/>
        <w:drawing>
          <wp:inline distT="0" distB="0" distL="0" distR="0">
            <wp:extent cx="723900" cy="76771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23900" cy="767715"/>
                    </a:xfrm>
                    <a:prstGeom prst="rect">
                      <a:avLst/>
                    </a:prstGeom>
                  </pic:spPr>
                </pic:pic>
              </a:graphicData>
            </a:graphic>
          </wp:inline>
        </w:drawing>
      </w:r>
    </w:p>
    <w:p>
      <w:pPr>
        <w:pStyle w:val="Normal"/>
        <w:jc w:val="center"/>
        <w:rPr>
          <w:rFonts w:ascii="Arial" w:hAnsi="Arial" w:cs="Arial"/>
          <w:sz w:val="20"/>
          <w:szCs w:val="20"/>
        </w:rPr>
      </w:pPr>
      <w:r>
        <w:rPr>
          <w:rFonts w:cs="Arial" w:ascii="Arial" w:hAnsi="Arial"/>
          <w:sz w:val="20"/>
          <w:szCs w:val="20"/>
        </w:rPr>
      </w:r>
    </w:p>
    <w:p>
      <w:pPr>
        <w:pStyle w:val="Normal"/>
        <w:spacing w:lineRule="auto" w:line="312" w:before="0" w:after="0"/>
        <w:ind w:firstLine="567"/>
        <w:jc w:val="center"/>
        <w:rPr/>
      </w:pPr>
      <w:r>
        <w:rPr>
          <w:rFonts w:cs="Arial" w:ascii="Arial" w:hAnsi="Arial"/>
          <w:b/>
          <w:i w:val="false"/>
          <w:iCs w:val="false"/>
          <w:color w:val="000000"/>
          <w:sz w:val="20"/>
          <w:szCs w:val="20"/>
        </w:rPr>
        <w:t>MINISTÉRIO DA DEFESA</w:t>
      </w:r>
    </w:p>
    <w:p>
      <w:pPr>
        <w:pStyle w:val="Normal"/>
        <w:spacing w:lineRule="auto" w:line="312" w:before="0" w:after="0"/>
        <w:ind w:firstLine="567"/>
        <w:jc w:val="center"/>
        <w:rPr>
          <w:i w:val="false"/>
          <w:i w:val="false"/>
          <w:iCs w:val="false"/>
          <w:color w:val="000000"/>
        </w:rPr>
      </w:pPr>
      <w:r>
        <w:rPr>
          <w:rFonts w:cs="Arial" w:ascii="Arial" w:hAnsi="Arial"/>
          <w:b/>
          <w:i w:val="false"/>
          <w:iCs w:val="false"/>
          <w:color w:val="000000"/>
          <w:sz w:val="20"/>
          <w:szCs w:val="20"/>
        </w:rPr>
        <w:t xml:space="preserve">EXÉRCITO BRASILEIRO </w:t>
      </w:r>
    </w:p>
    <w:p>
      <w:pPr>
        <w:pStyle w:val="Normal"/>
        <w:spacing w:lineRule="auto" w:line="312" w:before="0" w:after="0"/>
        <w:ind w:firstLine="567"/>
        <w:jc w:val="center"/>
        <w:rPr>
          <w:i w:val="false"/>
          <w:i w:val="false"/>
          <w:iCs w:val="false"/>
          <w:color w:val="000000"/>
        </w:rPr>
      </w:pPr>
      <w:r>
        <w:rPr>
          <w:rFonts w:cs="Arial" w:ascii="Arial" w:hAnsi="Arial"/>
          <w:b/>
          <w:i w:val="false"/>
          <w:iCs w:val="false"/>
          <w:color w:val="000000"/>
          <w:sz w:val="20"/>
          <w:szCs w:val="20"/>
        </w:rPr>
        <w:t xml:space="preserve">2º BATALHÃO DE ENGENHARIA DE COMBATE </w:t>
      </w:r>
    </w:p>
    <w:p>
      <w:pPr>
        <w:pStyle w:val="Normal"/>
        <w:spacing w:lineRule="auto" w:line="312" w:before="0" w:after="0"/>
        <w:ind w:firstLine="567"/>
        <w:jc w:val="center"/>
        <w:rPr>
          <w:i w:val="false"/>
          <w:i w:val="false"/>
          <w:iCs w:val="false"/>
          <w:color w:val="000000"/>
        </w:rPr>
      </w:pPr>
      <w:r>
        <w:rPr>
          <w:rFonts w:cs="Arial" w:ascii="Arial" w:hAnsi="Arial"/>
          <w:b/>
          <w:i w:val="false"/>
          <w:iCs w:val="false"/>
          <w:color w:val="000000"/>
          <w:sz w:val="20"/>
          <w:szCs w:val="20"/>
        </w:rPr>
        <w:t xml:space="preserve">(2º BE/1946) </w:t>
      </w:r>
    </w:p>
    <w:p>
      <w:pPr>
        <w:pStyle w:val="Normal"/>
        <w:widowControl w:val="false"/>
        <w:spacing w:lineRule="auto" w:line="312" w:before="0" w:after="0"/>
        <w:ind w:firstLine="567"/>
        <w:jc w:val="center"/>
        <w:rPr>
          <w:b/>
          <w:b/>
          <w:bCs/>
          <w:i w:val="false"/>
          <w:i w:val="false"/>
          <w:iCs w:val="false"/>
          <w:color w:val="000000"/>
        </w:rPr>
      </w:pPr>
      <w:r>
        <w:rPr>
          <w:rFonts w:cs="Arial" w:ascii="Arial" w:hAnsi="Arial"/>
          <w:b/>
          <w:bCs/>
          <w:i w:val="false"/>
          <w:iCs w:val="false"/>
          <w:color w:val="000000"/>
          <w:sz w:val="20"/>
          <w:szCs w:val="20"/>
        </w:rPr>
        <w:t>BATALHÃO BORBA GATO</w:t>
      </w:r>
    </w:p>
    <w:p>
      <w:pPr>
        <w:pStyle w:val="Normal"/>
        <w:widowControl w:val="false"/>
        <w:ind w:right="-15" w:hanging="0"/>
        <w:jc w:val="center"/>
        <w:rPr>
          <w:rFonts w:ascii="Arial" w:hAnsi="Arial" w:cs="Arial"/>
          <w:i/>
          <w:i/>
          <w:color w:val="FF0000"/>
          <w:sz w:val="20"/>
          <w:szCs w:val="20"/>
        </w:rPr>
      </w:pPr>
      <w:r>
        <w:rPr>
          <w:rFonts w:cs="Arial" w:ascii="Arial" w:hAnsi="Arial"/>
          <w:i/>
          <w:color w:val="FF0000"/>
          <w:sz w:val="20"/>
          <w:szCs w:val="20"/>
        </w:rPr>
      </w:r>
    </w:p>
    <w:p>
      <w:pPr>
        <w:pStyle w:val="Normal"/>
        <w:widowControl w:val="false"/>
        <w:ind w:right="-15" w:hanging="0"/>
        <w:jc w:val="center"/>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t>ANEXO II</w:t>
      </w:r>
    </w:p>
    <w:p>
      <w:pPr>
        <w:pStyle w:val="Normal"/>
        <w:widowControl w:val="false"/>
        <w:ind w:right="-15" w:hanging="0"/>
        <w:jc w:val="center"/>
        <w:rPr>
          <w:i w:val="false"/>
          <w:i w:val="false"/>
          <w:iCs w:val="false"/>
        </w:rPr>
      </w:pPr>
      <w:r>
        <w:rPr/>
      </w:r>
    </w:p>
    <w:p>
      <w:pPr>
        <w:pStyle w:val="Normal"/>
        <w:widowControl w:val="false"/>
        <w:ind w:right="-15" w:hanging="0"/>
        <w:jc w:val="center"/>
        <w:rPr>
          <w:i w:val="false"/>
          <w:i w:val="false"/>
          <w:iCs w:val="false"/>
        </w:rPr>
      </w:pPr>
      <w:r>
        <w:rPr>
          <w:rFonts w:cs="Arial" w:ascii="Arial" w:hAnsi="Arial"/>
          <w:b/>
          <w:bCs/>
          <w:i w:val="false"/>
          <w:iCs w:val="false"/>
          <w:color w:val="000000"/>
          <w:sz w:val="20"/>
          <w:szCs w:val="20"/>
        </w:rPr>
        <w:t>ATA DE REGISTRO DE PREÇOS</w:t>
      </w:r>
    </w:p>
    <w:p>
      <w:pPr>
        <w:pStyle w:val="Normal"/>
        <w:widowControl w:val="false"/>
        <w:ind w:right="-15" w:hanging="0"/>
        <w:jc w:val="center"/>
        <w:rPr>
          <w:rFonts w:ascii="Arial" w:hAnsi="Arial" w:cs="Arial"/>
          <w:i/>
          <w:i/>
          <w:color w:val="FF0000"/>
          <w:sz w:val="20"/>
          <w:szCs w:val="20"/>
        </w:rPr>
      </w:pPr>
      <w:r>
        <w:rPr>
          <w:rFonts w:cs="Arial" w:ascii="Arial" w:hAnsi="Arial"/>
          <w:i/>
          <w:color w:val="FF0000"/>
          <w:sz w:val="20"/>
          <w:szCs w:val="20"/>
        </w:rPr>
      </w:r>
    </w:p>
    <w:p>
      <w:pPr>
        <w:pStyle w:val="Normal"/>
        <w:widowControl w:val="false"/>
        <w:ind w:right="-30" w:hanging="0"/>
        <w:jc w:val="center"/>
        <w:rPr>
          <w:rFonts w:ascii="Arial" w:hAnsi="Arial" w:cs="Arial"/>
          <w:sz w:val="20"/>
          <w:szCs w:val="20"/>
        </w:rPr>
      </w:pPr>
      <w:r>
        <w:rPr>
          <w:rFonts w:cs="Arial" w:ascii="Arial" w:hAnsi="Arial"/>
          <w:sz w:val="20"/>
          <w:szCs w:val="20"/>
        </w:rPr>
      </w:r>
    </w:p>
    <w:p>
      <w:pPr>
        <w:pStyle w:val="Normal"/>
        <w:widowControl w:val="false"/>
        <w:ind w:right="-30" w:hanging="0"/>
        <w:jc w:val="center"/>
        <w:rPr>
          <w:rFonts w:ascii="Arial" w:hAnsi="Arial" w:cs="Arial"/>
          <w:bCs/>
          <w:sz w:val="20"/>
          <w:szCs w:val="20"/>
        </w:rPr>
      </w:pPr>
      <w:r>
        <w:rPr>
          <w:rFonts w:cs="Arial" w:ascii="Arial" w:hAnsi="Arial"/>
          <w:bCs/>
          <w:sz w:val="20"/>
          <w:szCs w:val="20"/>
        </w:rPr>
        <w:t>N.º .0</w:t>
      </w:r>
      <w:r>
        <w:rPr>
          <w:rFonts w:cs="Arial" w:ascii="Arial" w:hAnsi="Arial"/>
          <w:bCs/>
          <w:sz w:val="20"/>
          <w:szCs w:val="20"/>
        </w:rPr>
        <w:t>4</w:t>
      </w:r>
      <w:r>
        <w:rPr>
          <w:rFonts w:cs="Arial" w:ascii="Arial" w:hAnsi="Arial"/>
          <w:bCs/>
          <w:sz w:val="20"/>
          <w:szCs w:val="20"/>
        </w:rPr>
        <w:t>/2023</w:t>
      </w:r>
    </w:p>
    <w:p>
      <w:pPr>
        <w:pStyle w:val="Normal"/>
        <w:widowControl w:val="false"/>
        <w:ind w:right="-30" w:hanging="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ind w:right="-28" w:hanging="0"/>
        <w:jc w:val="both"/>
        <w:rPr>
          <w:rFonts w:ascii="Arial" w:hAnsi="Arial" w:cs="Arial"/>
          <w:sz w:val="20"/>
          <w:szCs w:val="20"/>
        </w:rPr>
      </w:pPr>
      <w:r>
        <w:rPr>
          <w:rFonts w:cs="Arial" w:ascii="Arial" w:hAnsi="Arial"/>
          <w:sz w:val="20"/>
          <w:szCs w:val="20"/>
        </w:rPr>
        <w:t xml:space="preserve">O </w:t>
      </w:r>
      <w:r>
        <w:rPr>
          <w:rFonts w:cs="Arial" w:ascii="Arial" w:hAnsi="Arial"/>
          <w:color w:val="000000"/>
          <w:sz w:val="20"/>
          <w:szCs w:val="20"/>
        </w:rPr>
        <w:t>2º Batalhão de Engenharia de Combate</w:t>
      </w:r>
      <w:r>
        <w:rPr>
          <w:rFonts w:cs="Arial" w:ascii="Arial" w:hAnsi="Arial"/>
          <w:sz w:val="20"/>
          <w:szCs w:val="20"/>
        </w:rPr>
        <w:t xml:space="preserve">, com sede na </w:t>
      </w:r>
      <w:r>
        <w:rPr>
          <w:rFonts w:cs="Arial" w:ascii="Arial" w:hAnsi="Arial"/>
          <w:color w:val="000000"/>
          <w:sz w:val="20"/>
          <w:szCs w:val="20"/>
        </w:rPr>
        <w:t>Praça Padre João Faria de Fialho, nº 46, CEP: 12.400-190</w:t>
      </w:r>
      <w:r>
        <w:rPr>
          <w:rFonts w:cs="Arial" w:ascii="Arial" w:hAnsi="Arial"/>
          <w:sz w:val="20"/>
          <w:szCs w:val="20"/>
        </w:rPr>
        <w:t xml:space="preserve">, na cidade de </w:t>
      </w:r>
      <w:r>
        <w:rPr>
          <w:rFonts w:cs="Arial" w:ascii="Arial" w:hAnsi="Arial"/>
          <w:color w:val="000000"/>
          <w:sz w:val="20"/>
          <w:szCs w:val="20"/>
        </w:rPr>
        <w:t xml:space="preserve">Pindamonhangaba-SP </w:t>
      </w:r>
      <w:r>
        <w:rPr>
          <w:rFonts w:cs="Arial" w:ascii="Arial" w:hAnsi="Arial"/>
          <w:sz w:val="20"/>
          <w:szCs w:val="20"/>
        </w:rPr>
        <w:t>, inscrito(a) no CNPJ/MF sob o nº09.538.909/0001-72, neste ato representado(a) pelo seu comandante, o Cel RICARDO TEIXEIRA MENEGATTO, nomeado(a) pela  Portaria nº 485, de 12 de maio de 2022, publicada no DOU de 16 de maio de 2022, portador da matrícula funcional nº 031.785.714-2, considerando o julgamento da licitação na modalidade de pregão, na forma eletrônica, para REGISTRO DE PREÇOS nº 0</w:t>
      </w:r>
      <w:r>
        <w:rPr>
          <w:rFonts w:cs="Arial" w:ascii="Arial" w:hAnsi="Arial"/>
          <w:sz w:val="20"/>
          <w:szCs w:val="20"/>
        </w:rPr>
        <w:t>4</w:t>
      </w:r>
      <w:r>
        <w:rPr>
          <w:rFonts w:cs="Arial" w:ascii="Arial" w:hAnsi="Arial"/>
          <w:sz w:val="20"/>
          <w:szCs w:val="20"/>
        </w:rPr>
        <w:t>/2023, publicada no ...... de ...../...../200....., processo administrativo n.º64031.00</w:t>
      </w:r>
      <w:r>
        <w:rPr>
          <w:rFonts w:cs="Arial" w:ascii="Arial" w:hAnsi="Arial"/>
          <w:sz w:val="20"/>
          <w:szCs w:val="20"/>
        </w:rPr>
        <w:t>4510</w:t>
      </w:r>
      <w:r>
        <w:rPr>
          <w:rFonts w:cs="Arial" w:ascii="Arial" w:hAnsi="Arial"/>
          <w:sz w:val="20"/>
          <w:szCs w:val="20"/>
        </w:rPr>
        <w:t>/2023-</w:t>
      </w:r>
      <w:r>
        <w:rPr>
          <w:rFonts w:cs="Arial" w:ascii="Arial" w:hAnsi="Arial"/>
          <w:sz w:val="20"/>
          <w:szCs w:val="20"/>
        </w:rPr>
        <w:t>76</w:t>
      </w:r>
      <w:r>
        <w:rPr>
          <w:rFonts w:cs="Arial" w:ascii="Arial" w:hAnsi="Arial"/>
          <w:sz w:val="20"/>
          <w:szCs w:val="20"/>
        </w:rPr>
        <w:t>, RESOLVE registrar os preços da(s)  empresa(s) indicada(s) e qualificada(s) nesta ATA, de acordo com a classificação por ela(s) alcançada(s) e na(s)  quantidade(s)  cotada(s), atendendo as condições previstas no edital, sujeitando-se as partes às normas constantes na Lei nº 14.133, de 01 de abril de  2021 e suas alterações, no Decreto n.º 11.462, de 31 de março de 2023, e em conformidade com as disposições a seguir:</w:t>
      </w:r>
    </w:p>
    <w:p>
      <w:pPr>
        <w:pStyle w:val="Normal"/>
        <w:widowControl w:val="false"/>
        <w:tabs>
          <w:tab w:val="clear" w:pos="708"/>
          <w:tab w:val="center" w:pos="4779" w:leader="none"/>
          <w:tab w:val="right" w:pos="9198" w:leader="none"/>
        </w:tabs>
        <w:ind w:right="-28" w:hanging="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ind w:left="0" w:hanging="0"/>
        <w:jc w:val="both"/>
        <w:rPr>
          <w:rFonts w:ascii="Arial" w:hAnsi="Arial" w:cs="Arial"/>
          <w:b/>
          <w:b/>
          <w:bCs/>
          <w:sz w:val="20"/>
          <w:szCs w:val="20"/>
        </w:rPr>
      </w:pPr>
      <w:r>
        <w:rPr>
          <w:rFonts w:cs="Arial" w:ascii="Arial" w:hAnsi="Arial"/>
          <w:b/>
          <w:bCs/>
          <w:sz w:val="20"/>
          <w:szCs w:val="20"/>
        </w:rPr>
        <w:t>DO OBJETO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A presente Ata tem por objeto o registro de preços para a eventual aquisição de dietas enterais e materiais de atendimento especificado(s) no(s) item(ns).......... do .......... Termo de Referência, anexo ...... do edital de </w:t>
      </w:r>
      <w:r>
        <w:rPr>
          <w:rFonts w:cs="Arial" w:ascii="Arial" w:hAnsi="Arial"/>
          <w:i/>
          <w:sz w:val="20"/>
          <w:szCs w:val="20"/>
        </w:rPr>
        <w:t>Pregão</w:t>
      </w:r>
      <w:r>
        <w:rPr>
          <w:rFonts w:cs="Arial" w:ascii="Arial" w:hAnsi="Arial"/>
          <w:sz w:val="20"/>
          <w:szCs w:val="20"/>
        </w:rPr>
        <w:t xml:space="preserve"> nº 0</w:t>
      </w:r>
      <w:r>
        <w:rPr>
          <w:rFonts w:cs="Arial" w:ascii="Arial" w:hAnsi="Arial"/>
          <w:sz w:val="20"/>
          <w:szCs w:val="20"/>
        </w:rPr>
        <w:t>4</w:t>
      </w:r>
      <w:r>
        <w:rPr>
          <w:rFonts w:cs="Arial" w:ascii="Arial" w:hAnsi="Arial"/>
          <w:sz w:val="20"/>
          <w:szCs w:val="20"/>
        </w:rPr>
        <w:t>/2023, que é parte integrante desta Ata, assim como a proposta vencedora, independentemente de transcrição.</w:t>
      </w:r>
    </w:p>
    <w:p>
      <w:pPr>
        <w:pStyle w:val="Normal"/>
        <w:widowControl w:val="false"/>
        <w:ind w:left="792" w:hanging="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ind w:left="0" w:hanging="0"/>
        <w:jc w:val="both"/>
        <w:rPr>
          <w:rFonts w:ascii="Arial" w:hAnsi="Arial" w:cs="Arial"/>
          <w:b/>
          <w:b/>
          <w:sz w:val="20"/>
          <w:szCs w:val="20"/>
        </w:rPr>
      </w:pPr>
      <w:r>
        <w:rPr>
          <w:rFonts w:cs="Arial" w:ascii="Arial" w:hAnsi="Arial"/>
          <w:b/>
          <w:bCs/>
          <w:sz w:val="20"/>
          <w:szCs w:val="20"/>
        </w:rPr>
        <w:t>DOS PREÇOS, ESPECIFICAÇÕES E QUANTITATIVOS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O preço registrado, as especificações do objeto, a quantidade, fornecedor(es) e as demais condições ofertadas na(s) proposta(s) são as que seguem: </w:t>
      </w:r>
    </w:p>
    <w:tbl>
      <w:tblPr>
        <w:tblW w:w="8551"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5"/>
        <w:gridCol w:w="1334"/>
        <w:gridCol w:w="1253"/>
        <w:gridCol w:w="1542"/>
        <w:gridCol w:w="1121"/>
        <w:gridCol w:w="1120"/>
        <w:gridCol w:w="842"/>
        <w:gridCol w:w="843"/>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30" w:hanging="0"/>
              <w:jc w:val="center"/>
              <w:rPr>
                <w:rFonts w:ascii="Arial" w:hAnsi="Arial" w:cs="Arial"/>
                <w:sz w:val="20"/>
                <w:szCs w:val="20"/>
              </w:rPr>
            </w:pPr>
            <w:r>
              <w:rPr>
                <w:rFonts w:cs="Arial" w:ascii="Arial" w:hAnsi="Arial"/>
                <w:sz w:val="20"/>
                <w:szCs w:val="20"/>
              </w:rPr>
              <w:t>Item</w:t>
            </w:r>
          </w:p>
          <w:p>
            <w:pPr>
              <w:pStyle w:val="Normal"/>
              <w:widowControl w:val="false"/>
              <w:ind w:right="-30" w:hanging="0"/>
              <w:jc w:val="center"/>
              <w:rPr>
                <w:rFonts w:ascii="Arial" w:hAnsi="Arial" w:cs="Arial"/>
                <w:sz w:val="20"/>
                <w:szCs w:val="20"/>
              </w:rPr>
            </w:pPr>
            <w:r>
              <w:rPr>
                <w:rFonts w:cs="Arial" w:ascii="Arial" w:hAnsi="Arial"/>
                <w:sz w:val="20"/>
                <w:szCs w:val="20"/>
              </w:rPr>
              <w:t>do</w:t>
            </w:r>
          </w:p>
          <w:p>
            <w:pPr>
              <w:pStyle w:val="Normal"/>
              <w:widowControl w:val="false"/>
              <w:ind w:right="-30" w:hanging="0"/>
              <w:jc w:val="center"/>
              <w:rPr>
                <w:rFonts w:ascii="Arial" w:hAnsi="Arial" w:cs="Arial"/>
                <w:sz w:val="20"/>
                <w:szCs w:val="20"/>
              </w:rPr>
            </w:pPr>
            <w:r>
              <w:rPr>
                <w:rFonts w:cs="Arial" w:ascii="Arial" w:hAnsi="Arial"/>
                <w:sz w:val="20"/>
                <w:szCs w:val="20"/>
              </w:rPr>
              <w:t>TR</w:t>
            </w:r>
          </w:p>
        </w:tc>
        <w:tc>
          <w:tcPr>
            <w:tcW w:w="8055" w:type="dxa"/>
            <w:gridSpan w:val="7"/>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ind w:right="-30" w:hanging="0"/>
              <w:jc w:val="center"/>
              <w:rPr>
                <w:rFonts w:ascii="Arial" w:hAnsi="Arial" w:cs="Arial"/>
                <w:sz w:val="20"/>
                <w:szCs w:val="20"/>
              </w:rPr>
            </w:pPr>
            <w:r>
              <w:rPr>
                <w:rFonts w:cs="Arial" w:ascii="Arial" w:hAnsi="Arial"/>
                <w:sz w:val="20"/>
                <w:szCs w:val="20"/>
              </w:rPr>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ind w:right="-30" w:hanging="0"/>
              <w:jc w:val="center"/>
              <w:rPr>
                <w:rFonts w:ascii="Arial" w:hAnsi="Arial" w:cs="Arial"/>
                <w:sz w:val="20"/>
                <w:szCs w:val="20"/>
              </w:rPr>
            </w:pPr>
            <w:r>
              <w:rPr>
                <w:rFonts w:cs="Arial" w:ascii="Arial" w:hAnsi="Arial"/>
                <w:sz w:val="20"/>
                <w:szCs w:val="20"/>
              </w:rPr>
              <w:t>X</w:t>
            </w:r>
          </w:p>
        </w:tc>
        <w:tc>
          <w:tcPr>
            <w:tcW w:w="1334"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t>Especificação</w:t>
            </w:r>
          </w:p>
        </w:tc>
        <w:tc>
          <w:tcPr>
            <w:tcW w:w="1253" w:type="dxa"/>
            <w:tcBorders>
              <w:left w:val="single" w:sz="2" w:space="0" w:color="000000"/>
              <w:bottom w:val="single" w:sz="2" w:space="0" w:color="000000"/>
            </w:tcBorders>
          </w:tcPr>
          <w:p>
            <w:pPr>
              <w:pStyle w:val="Normal"/>
              <w:widowControl w:val="false"/>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ind w:right="-30" w:hanging="0"/>
              <w:jc w:val="center"/>
              <w:rPr>
                <w:rFonts w:ascii="Arial" w:hAnsi="Arial" w:cs="Arial"/>
                <w:i/>
                <w:i/>
                <w:iCs/>
                <w:sz w:val="20"/>
                <w:szCs w:val="20"/>
              </w:rPr>
            </w:pPr>
            <w:r>
              <w:rPr>
                <w:rFonts w:cs="Arial" w:ascii="Arial" w:hAnsi="Arial"/>
                <w:i/>
                <w:iCs/>
                <w:sz w:val="20"/>
                <w:szCs w:val="20"/>
              </w:rPr>
              <w:t>(se exigida no edital)</w:t>
            </w:r>
          </w:p>
        </w:tc>
        <w:tc>
          <w:tcPr>
            <w:tcW w:w="1542" w:type="dxa"/>
            <w:tcBorders>
              <w:left w:val="single" w:sz="2" w:space="0" w:color="000000"/>
              <w:bottom w:val="single" w:sz="2" w:space="0" w:color="000000"/>
            </w:tcBorders>
          </w:tcPr>
          <w:p>
            <w:pPr>
              <w:pStyle w:val="Normal"/>
              <w:widowControl w:val="false"/>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ind w:right="-30" w:hanging="0"/>
              <w:jc w:val="center"/>
              <w:rPr>
                <w:rFonts w:ascii="Arial" w:hAnsi="Arial" w:cs="Arial"/>
                <w:i/>
                <w:i/>
                <w:iCs/>
                <w:sz w:val="20"/>
                <w:szCs w:val="20"/>
              </w:rPr>
            </w:pPr>
            <w:r>
              <w:rPr>
                <w:rFonts w:cs="Arial" w:ascii="Arial" w:hAnsi="Arial"/>
                <w:i/>
                <w:iCs/>
                <w:sz w:val="20"/>
                <w:szCs w:val="20"/>
              </w:rPr>
              <w:t>(se exigido no edital)</w:t>
            </w:r>
          </w:p>
        </w:tc>
        <w:tc>
          <w:tcPr>
            <w:tcW w:w="1121" w:type="dxa"/>
            <w:tcBorders>
              <w:left w:val="single" w:sz="2" w:space="0" w:color="000000"/>
              <w:bottom w:val="single" w:sz="2" w:space="0" w:color="000000"/>
            </w:tcBorders>
          </w:tcPr>
          <w:p>
            <w:pPr>
              <w:pStyle w:val="Normal"/>
              <w:widowControl w:val="false"/>
              <w:ind w:right="-30" w:hanging="0"/>
              <w:jc w:val="center"/>
              <w:rPr>
                <w:rFonts w:ascii="Arial" w:hAnsi="Arial" w:cs="Arial"/>
                <w:sz w:val="20"/>
                <w:szCs w:val="20"/>
              </w:rPr>
            </w:pPr>
            <w:r>
              <w:rPr>
                <w:rFonts w:cs="Arial" w:ascii="Arial" w:hAnsi="Arial"/>
                <w:sz w:val="20"/>
                <w:szCs w:val="20"/>
              </w:rPr>
              <w:t>Unidade</w:t>
            </w:r>
          </w:p>
        </w:tc>
        <w:tc>
          <w:tcPr>
            <w:tcW w:w="1120" w:type="dxa"/>
            <w:tcBorders>
              <w:left w:val="single" w:sz="2" w:space="0" w:color="000000"/>
              <w:bottom w:val="single" w:sz="2" w:space="0" w:color="000000"/>
            </w:tcBorders>
          </w:tcPr>
          <w:p>
            <w:pPr>
              <w:pStyle w:val="Normal"/>
              <w:widowControl w:val="false"/>
              <w:ind w:right="-30" w:hanging="0"/>
              <w:jc w:val="center"/>
              <w:rPr>
                <w:rFonts w:ascii="Arial" w:hAnsi="Arial" w:cs="Arial"/>
                <w:sz w:val="20"/>
                <w:szCs w:val="20"/>
              </w:rPr>
            </w:pPr>
            <w:r>
              <w:rPr>
                <w:rFonts w:cs="Arial" w:ascii="Arial" w:hAnsi="Arial"/>
                <w:sz w:val="20"/>
                <w:szCs w:val="20"/>
              </w:rPr>
              <w:t>Quantidade</w:t>
            </w:r>
          </w:p>
        </w:tc>
        <w:tc>
          <w:tcPr>
            <w:tcW w:w="842" w:type="dxa"/>
            <w:tcBorders>
              <w:left w:val="single" w:sz="2" w:space="0" w:color="000000"/>
              <w:bottom w:val="single" w:sz="2" w:space="0" w:color="000000"/>
            </w:tcBorders>
          </w:tcPr>
          <w:p>
            <w:pPr>
              <w:pStyle w:val="Normal"/>
              <w:widowControl w:val="false"/>
              <w:ind w:right="-30" w:hanging="0"/>
              <w:jc w:val="center"/>
              <w:rPr>
                <w:rFonts w:ascii="Arial" w:hAnsi="Arial" w:cs="Arial"/>
                <w:sz w:val="20"/>
                <w:szCs w:val="20"/>
              </w:rPr>
            </w:pPr>
            <w:r>
              <w:rPr>
                <w:rFonts w:cs="Arial" w:ascii="Arial" w:hAnsi="Arial"/>
                <w:sz w:val="20"/>
                <w:szCs w:val="20"/>
              </w:rPr>
              <w:t>Valor Un</w:t>
            </w:r>
          </w:p>
        </w:tc>
        <w:tc>
          <w:tcPr>
            <w:tcW w:w="843" w:type="dxa"/>
            <w:tcBorders>
              <w:left w:val="single" w:sz="2" w:space="0" w:color="000000"/>
              <w:bottom w:val="single" w:sz="2" w:space="0" w:color="000000"/>
              <w:right w:val="single" w:sz="2" w:space="0" w:color="000000"/>
            </w:tcBorders>
          </w:tcPr>
          <w:p>
            <w:pPr>
              <w:pStyle w:val="Normal"/>
              <w:widowControl w:val="false"/>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334"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53"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542"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20"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842"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r>
    </w:tbl>
    <w:p>
      <w:pPr>
        <w:pStyle w:val="Normal"/>
        <w:rPr>
          <w:rFonts w:ascii="Arial" w:hAnsi="Arial" w:cs="Arial"/>
          <w:sz w:val="20"/>
          <w:szCs w:val="20"/>
          <w:lang w:eastAsia="en-US"/>
        </w:rPr>
      </w:pPr>
      <w:r>
        <w:rPr>
          <w:rFonts w:cs="Arial" w:ascii="Arial" w:hAnsi="Arial"/>
          <w:sz w:val="20"/>
          <w:szCs w:val="20"/>
          <w:lang w:eastAsia="en-US"/>
        </w:rPr>
      </w:r>
    </w:p>
    <w:p>
      <w:pPr>
        <w:pStyle w:val="Normal"/>
        <w:numPr>
          <w:ilvl w:val="1"/>
          <w:numId w:val="1"/>
        </w:numPr>
        <w:spacing w:lineRule="auto" w:line="276" w:before="120" w:after="120"/>
        <w:ind w:left="425" w:hanging="0"/>
        <w:jc w:val="both"/>
        <w:rPr>
          <w:rFonts w:ascii="Arial" w:hAnsi="Arial" w:cs="Arial"/>
          <w:sz w:val="20"/>
          <w:szCs w:val="20"/>
          <w:lang w:eastAsia="en-US"/>
        </w:rPr>
      </w:pPr>
      <w:r>
        <w:rPr>
          <w:rFonts w:cs="Arial" w:ascii="Arial" w:hAnsi="Arial"/>
          <w:sz w:val="20"/>
          <w:szCs w:val="20"/>
          <w:lang w:eastAsia="en-US"/>
        </w:rPr>
        <w:t>A listagem do cadastro de reserva referente ao presente registro de preços consta como anexo a esta Ata.</w:t>
      </w:r>
    </w:p>
    <w:p>
      <w:pPr>
        <w:pStyle w:val="Nivel1"/>
        <w:numPr>
          <w:ilvl w:val="0"/>
          <w:numId w:val="1"/>
        </w:numPr>
        <w:rPr>
          <w:i/>
          <w:i/>
          <w:color w:val="FF0000"/>
          <w:lang w:eastAsia="en-US"/>
        </w:rPr>
      </w:pPr>
      <w:r>
        <w:rPr>
          <w:lang w:eastAsia="en-US"/>
        </w:rPr>
        <w:t xml:space="preserve">DA ADESÃO À ATA DE REGISTRO DE PREÇOS </w:t>
      </w:r>
    </w:p>
    <w:p>
      <w:pPr>
        <w:pStyle w:val="Normal"/>
        <w:numPr>
          <w:ilvl w:val="1"/>
          <w:numId w:val="1"/>
        </w:numPr>
        <w:spacing w:lineRule="auto" w:line="276" w:before="120" w:after="120"/>
        <w:ind w:left="792" w:hanging="432"/>
        <w:jc w:val="both"/>
        <w:rPr>
          <w:i w:val="false"/>
          <w:i w:val="false"/>
          <w:iCs w:val="false"/>
          <w:color w:val="000000"/>
        </w:rPr>
      </w:pPr>
      <w:r>
        <w:rPr>
          <w:rFonts w:cs="Arial" w:ascii="Arial" w:hAnsi="Arial"/>
          <w:i w:val="false"/>
          <w:iCs w:val="false"/>
          <w:color w:val="000000"/>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nº 11.462, de 2023.</w:t>
      </w:r>
    </w:p>
    <w:p>
      <w:pPr>
        <w:pStyle w:val="Normal"/>
        <w:numPr>
          <w:ilvl w:val="2"/>
          <w:numId w:val="1"/>
        </w:numPr>
        <w:spacing w:lineRule="auto" w:line="276" w:before="120" w:after="120"/>
        <w:ind w:left="1224" w:hanging="504"/>
        <w:jc w:val="both"/>
        <w:rPr>
          <w:i w:val="false"/>
          <w:i w:val="false"/>
          <w:iCs w:val="false"/>
          <w:color w:val="000000"/>
        </w:rPr>
      </w:pPr>
      <w:r>
        <w:rPr>
          <w:rFonts w:cs="Arial" w:ascii="Arial" w:hAnsi="Arial"/>
          <w:i w:val="false"/>
          <w:iCs w:val="false"/>
          <w:color w:val="000000"/>
          <w:sz w:val="20"/>
          <w:szCs w:val="20"/>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pPr>
        <w:pStyle w:val="Normal"/>
        <w:numPr>
          <w:ilvl w:val="1"/>
          <w:numId w:val="1"/>
        </w:numPr>
        <w:spacing w:lineRule="auto" w:line="276" w:before="120" w:after="120"/>
        <w:ind w:left="792" w:hanging="432"/>
        <w:jc w:val="both"/>
        <w:rPr>
          <w:i w:val="false"/>
          <w:i w:val="false"/>
          <w:iCs w:val="false"/>
          <w:color w:val="000000"/>
        </w:rPr>
      </w:pPr>
      <w:r>
        <w:rPr>
          <w:rFonts w:cs="Arial" w:ascii="Arial" w:hAnsi="Arial"/>
          <w:i w:val="false"/>
          <w:iCs w:val="false"/>
          <w:color w:val="000000"/>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pPr>
        <w:pStyle w:val="Normal"/>
        <w:numPr>
          <w:ilvl w:val="1"/>
          <w:numId w:val="1"/>
        </w:numPr>
        <w:spacing w:lineRule="auto" w:line="276" w:before="120" w:after="120"/>
        <w:ind w:left="792" w:hanging="432"/>
        <w:jc w:val="both"/>
        <w:rPr>
          <w:i w:val="false"/>
          <w:i w:val="false"/>
          <w:iCs w:val="false"/>
          <w:color w:val="000000"/>
        </w:rPr>
      </w:pPr>
      <w:r>
        <w:rPr>
          <w:rFonts w:cs="Arial" w:ascii="Arial" w:hAnsi="Arial"/>
          <w:i w:val="false"/>
          <w:iCs w:val="false"/>
          <w:color w:val="000000"/>
          <w:sz w:val="20"/>
          <w:szCs w:val="20"/>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pPr>
        <w:pStyle w:val="Normal"/>
        <w:numPr>
          <w:ilvl w:val="1"/>
          <w:numId w:val="1"/>
        </w:numPr>
        <w:spacing w:lineRule="auto" w:line="276" w:before="120" w:after="120"/>
        <w:ind w:left="792" w:hanging="432"/>
        <w:jc w:val="both"/>
        <w:rPr>
          <w:i w:val="false"/>
          <w:i w:val="false"/>
          <w:iCs w:val="false"/>
          <w:color w:val="000000"/>
        </w:rPr>
      </w:pPr>
      <w:r>
        <w:rPr>
          <w:rFonts w:cs="Arial" w:ascii="Arial" w:hAnsi="Arial"/>
          <w:i w:val="false"/>
          <w:iCs w:val="false"/>
          <w:color w:val="000000"/>
          <w:sz w:val="20"/>
          <w:szCs w:val="20"/>
        </w:rPr>
        <w:t>As adesões à ata de registro de preços são limitadas, na totalidade, ao dobro do quantitativo de cada item registrado na ata de registro de preços para o órgão gerenciador e órgãos participantes, independente do número de órgãos não participantes que eventualmente aderirem.</w:t>
      </w:r>
    </w:p>
    <w:p>
      <w:pPr>
        <w:pStyle w:val="Normal"/>
        <w:numPr>
          <w:ilvl w:val="2"/>
          <w:numId w:val="1"/>
        </w:numPr>
        <w:spacing w:lineRule="auto" w:line="276" w:before="120" w:after="120"/>
        <w:ind w:left="1224" w:hanging="504"/>
        <w:jc w:val="both"/>
        <w:rPr>
          <w:i w:val="false"/>
          <w:i w:val="false"/>
          <w:iCs w:val="false"/>
          <w:color w:val="000000"/>
        </w:rPr>
      </w:pPr>
      <w:r>
        <w:rPr>
          <w:rFonts w:cs="Arial" w:ascii="Arial" w:hAnsi="Arial"/>
          <w:i w:val="false"/>
          <w:iCs w:val="false"/>
          <w:color w:val="000000"/>
          <w:sz w:val="20"/>
          <w:szCs w:val="20"/>
        </w:rPr>
        <w:t xml:space="preserve">Tratando-se de item exclusivo para microempresas e empresas de pequeno porte e </w:t>
      </w:r>
      <w:r>
        <w:rPr>
          <w:rFonts w:cs="Arial" w:ascii="Arial" w:hAnsi="Arial"/>
          <w:i w:val="false"/>
          <w:iCs w:val="false"/>
          <w:strike/>
          <w:color w:val="000000"/>
          <w:sz w:val="20"/>
          <w:szCs w:val="20"/>
        </w:rPr>
        <w:t>cooperativas</w:t>
      </w:r>
      <w:r>
        <w:rPr>
          <w:rFonts w:cs="Arial" w:ascii="Arial" w:hAnsi="Arial"/>
          <w:i w:val="false"/>
          <w:iCs w:val="false"/>
          <w:color w:val="000000"/>
          <w:sz w:val="20"/>
          <w:szCs w:val="20"/>
        </w:rPr>
        <w:t xml:space="preserve"> enquadradas no artigo 34 da Lei n° 11.488, de 2007, o órgão gerenciador somente autorizará a adesão caso o valor da contratação pretendida pelo aderente, somado aos valores das contratações já previstas para o órgão gerenciador </w:t>
      </w:r>
      <w:r>
        <w:rPr>
          <w:rFonts w:cs="Arial" w:ascii="Arial" w:hAnsi="Arial"/>
          <w:i w:val="false"/>
          <w:iCs w:val="false"/>
          <w:strike/>
          <w:color w:val="000000"/>
          <w:sz w:val="20"/>
          <w:szCs w:val="20"/>
        </w:rPr>
        <w:t>e participantes</w:t>
      </w:r>
      <w:r>
        <w:rPr>
          <w:rFonts w:cs="Arial" w:ascii="Arial" w:hAnsi="Arial"/>
          <w:i w:val="false"/>
          <w:iCs w:val="false"/>
          <w:color w:val="000000"/>
          <w:sz w:val="20"/>
          <w:szCs w:val="20"/>
        </w:rPr>
        <w:t xml:space="preserve"> ou já destinadas à aderentes anteriores, não ultrapasse o limite de R$ 80.000,00 (oitenta mil reais) (Acórdão TCU nº 2957/2011 – P).</w:t>
      </w:r>
    </w:p>
    <w:p>
      <w:pPr>
        <w:pStyle w:val="Normal"/>
        <w:numPr>
          <w:ilvl w:val="1"/>
          <w:numId w:val="1"/>
        </w:numPr>
        <w:spacing w:lineRule="auto" w:line="276" w:before="120" w:after="120"/>
        <w:ind w:left="792" w:hanging="432"/>
        <w:jc w:val="both"/>
        <w:rPr>
          <w:i w:val="false"/>
          <w:i w:val="false"/>
          <w:iCs w:val="false"/>
          <w:color w:val="000000"/>
        </w:rPr>
      </w:pPr>
      <w:r>
        <w:rPr>
          <w:rFonts w:cs="Arial" w:ascii="Arial" w:hAnsi="Arial"/>
          <w:i w:val="false"/>
          <w:iCs w:val="false"/>
          <w:color w:val="000000"/>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pPr>
        <w:pStyle w:val="Normal"/>
        <w:numPr>
          <w:ilvl w:val="1"/>
          <w:numId w:val="1"/>
        </w:numPr>
        <w:spacing w:lineRule="auto" w:line="276" w:before="120" w:after="120"/>
        <w:ind w:left="792" w:hanging="432"/>
        <w:jc w:val="both"/>
        <w:rPr>
          <w:i w:val="false"/>
          <w:i w:val="false"/>
          <w:iCs w:val="false"/>
          <w:color w:val="000000"/>
        </w:rPr>
      </w:pPr>
      <w:r>
        <w:rPr>
          <w:rFonts w:cs="Arial" w:ascii="Arial" w:hAnsi="Arial"/>
          <w:i w:val="false"/>
          <w:iCs w:val="false"/>
          <w:color w:val="000000"/>
          <w:sz w:val="20"/>
          <w:szCs w:val="20"/>
        </w:rPr>
        <w:t>Após a autorização do órgão gerenciador, o órgão não participante deverá efetivar a contratação solicitada em até noventa dias, observado o prazo de validade da Ata de Registro de Preços.</w:t>
      </w:r>
    </w:p>
    <w:p>
      <w:pPr>
        <w:pStyle w:val="Normal"/>
        <w:numPr>
          <w:ilvl w:val="2"/>
          <w:numId w:val="1"/>
        </w:numPr>
        <w:spacing w:lineRule="auto" w:line="276" w:before="120" w:after="120"/>
        <w:ind w:left="1224" w:hanging="504"/>
        <w:jc w:val="both"/>
        <w:rPr>
          <w:i w:val="false"/>
          <w:i w:val="false"/>
          <w:iCs w:val="false"/>
          <w:color w:val="000000"/>
        </w:rPr>
      </w:pPr>
      <w:r>
        <w:rPr>
          <w:rFonts w:cs="Arial" w:ascii="Arial" w:hAnsi="Arial"/>
          <w:i w:val="false"/>
          <w:iCs w:val="false"/>
          <w:color w:val="000000"/>
          <w:sz w:val="20"/>
          <w:szCs w:val="20"/>
        </w:rPr>
        <w:t>Caberá ao órgão gerenciador autorizar, excepcional e justificadamente, a prorrogação do prazo para efetivação da contratação, respeitado o prazo de vigência da ata, desde que solicitada pelo órgão não participante.</w:t>
      </w:r>
    </w:p>
    <w:p>
      <w:pPr>
        <w:pStyle w:val="Nivel1"/>
        <w:numPr>
          <w:ilvl w:val="0"/>
          <w:numId w:val="1"/>
        </w:numPr>
        <w:rPr>
          <w:iCs/>
        </w:rPr>
      </w:pPr>
      <w:r>
        <w:rPr/>
        <w:t xml:space="preserve">VALIDADE DA ATA </w:t>
      </w:r>
    </w:p>
    <w:p>
      <w:pPr>
        <w:pStyle w:val="Normal"/>
        <w:numPr>
          <w:ilvl w:val="1"/>
          <w:numId w:val="1"/>
        </w:numPr>
        <w:spacing w:lineRule="auto" w:line="276" w:before="120" w:after="120"/>
        <w:ind w:left="425" w:hanging="0"/>
        <w:jc w:val="both"/>
        <w:rPr>
          <w:rFonts w:ascii="Arial" w:hAnsi="Arial" w:cs="Arial"/>
          <w:iCs/>
          <w:sz w:val="20"/>
          <w:szCs w:val="20"/>
        </w:rPr>
      </w:pPr>
      <w:r>
        <w:rPr>
          <w:rFonts w:cs="Arial" w:ascii="Arial" w:hAnsi="Arial"/>
          <w:sz w:val="20"/>
          <w:szCs w:val="20"/>
        </w:rPr>
        <w:t xml:space="preserve">A validade da Ata de Registro de Preços será de </w:t>
      </w:r>
      <w:r>
        <w:rPr>
          <w:rFonts w:cs="Arial" w:ascii="Arial" w:hAnsi="Arial"/>
          <w:i/>
          <w:color w:val="000000"/>
          <w:sz w:val="20"/>
          <w:szCs w:val="20"/>
        </w:rPr>
        <w:t>12 meses</w:t>
      </w:r>
      <w:r>
        <w:rPr>
          <w:rFonts w:cs="Arial" w:ascii="Arial" w:hAnsi="Arial"/>
          <w:sz w:val="20"/>
          <w:szCs w:val="20"/>
        </w:rPr>
        <w:t>, a partir do(a)................................, não podendo ser prorrogada.</w:t>
      </w:r>
    </w:p>
    <w:p>
      <w:pPr>
        <w:pStyle w:val="Normal"/>
        <w:widowControl w:val="false"/>
        <w:numPr>
          <w:ilvl w:val="0"/>
          <w:numId w:val="1"/>
        </w:numPr>
        <w:spacing w:before="240" w:after="0"/>
        <w:ind w:left="360" w:right="-30" w:hanging="360"/>
        <w:jc w:val="both"/>
        <w:rPr>
          <w:rFonts w:ascii="Arial" w:hAnsi="Arial" w:cs="Arial"/>
          <w:iCs/>
          <w:sz w:val="20"/>
          <w:szCs w:val="20"/>
        </w:rPr>
      </w:pPr>
      <w:r>
        <w:rPr>
          <w:rFonts w:cs="Arial" w:ascii="Arial" w:hAnsi="Arial"/>
          <w:b/>
          <w:bCs/>
          <w:sz w:val="20"/>
          <w:szCs w:val="20"/>
        </w:rPr>
        <w:t>REVISÃO E CANCELAMENTO</w:t>
      </w:r>
      <w:r>
        <w:rPr>
          <w:rFonts w:cs="Arial" w:ascii="Arial" w:hAnsi="Arial"/>
          <w:iCs/>
          <w:sz w:val="20"/>
          <w:szCs w:val="20"/>
        </w:rPr>
        <w:t xml:space="preserve"> </w:t>
      </w:r>
    </w:p>
    <w:p>
      <w:pPr>
        <w:pStyle w:val="ListParagraph"/>
        <w:numPr>
          <w:ilvl w:val="1"/>
          <w:numId w:val="1"/>
        </w:numPr>
        <w:spacing w:lineRule="auto" w:line="276" w:before="120" w:after="120"/>
        <w:ind w:left="425" w:hanging="0"/>
        <w:contextualSpacing/>
        <w:jc w:val="both"/>
        <w:rPr>
          <w:rFonts w:ascii="Arial" w:hAnsi="Arial" w:cs="Arial"/>
          <w:sz w:val="20"/>
          <w:szCs w:val="20"/>
        </w:rPr>
      </w:pPr>
      <w:r>
        <w:rPr>
          <w:rFonts w:cs="Arial" w:ascii="Arial" w:hAnsi="Arial"/>
          <w:sz w:val="20"/>
          <w:szCs w:val="20"/>
        </w:rPr>
        <w:t>A Administração realizará pesquisa de mercado periodicamente, em intervalos não superiores a 180 (cento e oitenta) dias, a fim de verificar a vantajosidade dos preços registrados nesta Ata.</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Quando o preço registrado tornar-se superior ao preço praticado no mercado por motivo superveniente, a Administração convocará o(s) fornecedor(es) para negociar(em) a redução dos preços aos valores praticados pelo mercado.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fornecedor que não aceitar reduzir seu preço ao valor praticado pelo mercado será liberado do compromisso assumido, sem aplicação de penalidade.</w:t>
      </w:r>
    </w:p>
    <w:p>
      <w:pPr>
        <w:pStyle w:val="Normal"/>
        <w:numPr>
          <w:ilvl w:val="2"/>
          <w:numId w:val="1"/>
        </w:numPr>
        <w:spacing w:lineRule="auto" w:line="276" w:before="120" w:after="120"/>
        <w:ind w:left="1134" w:hanging="0"/>
        <w:jc w:val="both"/>
        <w:rPr>
          <w:color w:val="000000"/>
        </w:rPr>
      </w:pPr>
      <w:r>
        <w:rPr>
          <w:rFonts w:cs="Arial" w:ascii="Arial" w:hAnsi="Arial"/>
          <w:color w:val="000000"/>
          <w:sz w:val="20"/>
          <w:szCs w:val="20"/>
        </w:rPr>
        <w:t>A ordem de classificação dos fornecedores que aceitarem reduzir seus preços aos valores de mercado observará a classificação original.</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Quando o preço de mercado tornar-se superior aos preços registrados e o fornecedor não puder cumprir o compromisso, o órgão gerenciador poderá:</w:t>
      </w:r>
    </w:p>
    <w:p>
      <w:pPr>
        <w:pStyle w:val="Normal"/>
        <w:numPr>
          <w:ilvl w:val="2"/>
          <w:numId w:val="1"/>
        </w:numPr>
        <w:spacing w:lineRule="auto" w:line="276" w:before="120" w:after="120"/>
        <w:ind w:left="1134" w:hanging="0"/>
        <w:jc w:val="both"/>
        <w:rPr>
          <w:rFonts w:ascii="Arial" w:hAnsi="Arial" w:cs="Arial"/>
          <w:sz w:val="20"/>
          <w:szCs w:val="20"/>
        </w:rPr>
      </w:pPr>
      <w:r>
        <w:rPr>
          <w:rFonts w:cs="Arial" w:ascii="Arial" w:hAnsi="Arial"/>
          <w:sz w:val="20"/>
          <w:szCs w:val="20"/>
        </w:rPr>
        <w:t>Liberar o fornecedor do compromisso assumido, caso a comunicação ocorra antes do pedido de fornecimento, e sem aplicação da penalidade se confirmada a veracidade dos motivos e comprovantes apresentados; e</w:t>
      </w:r>
    </w:p>
    <w:p>
      <w:pPr>
        <w:pStyle w:val="Normal"/>
        <w:numPr>
          <w:ilvl w:val="2"/>
          <w:numId w:val="1"/>
        </w:numPr>
        <w:spacing w:lineRule="auto" w:line="276" w:before="120" w:after="120"/>
        <w:ind w:left="1134" w:hanging="0"/>
        <w:jc w:val="both"/>
        <w:rPr>
          <w:rFonts w:ascii="Arial" w:hAnsi="Arial" w:cs="Arial"/>
          <w:sz w:val="20"/>
          <w:szCs w:val="20"/>
        </w:rPr>
      </w:pPr>
      <w:r>
        <w:rPr>
          <w:rFonts w:cs="Arial" w:ascii="Arial" w:hAnsi="Arial"/>
          <w:sz w:val="20"/>
          <w:szCs w:val="20"/>
        </w:rPr>
        <w:t>Convocar os demais fornecedores para assegurar igual oportunidade de negociação.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Não havendo êxito nas negociações, o órgão gerenciador deverá proceder à revogação desta ata de registro de preços, adotando as medidas cabíveis para obtenção da contratação mais vantajosa.</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registro do fornecedor será cancelado quando:</w:t>
      </w:r>
    </w:p>
    <w:p>
      <w:pPr>
        <w:pStyle w:val="Normal"/>
        <w:numPr>
          <w:ilvl w:val="2"/>
          <w:numId w:val="1"/>
        </w:numPr>
        <w:spacing w:lineRule="auto" w:line="276" w:before="120" w:after="120"/>
        <w:ind w:left="1134" w:hanging="0"/>
        <w:jc w:val="both"/>
        <w:rPr>
          <w:rFonts w:ascii="Arial" w:hAnsi="Arial" w:cs="Arial"/>
          <w:sz w:val="20"/>
          <w:szCs w:val="20"/>
        </w:rPr>
      </w:pPr>
      <w:r>
        <w:rPr>
          <w:rFonts w:cs="Arial" w:ascii="Arial" w:hAnsi="Arial"/>
          <w:sz w:val="20"/>
          <w:szCs w:val="20"/>
        </w:rPr>
        <w:t>Descumprir as condições da ata de registro de preços;</w:t>
      </w:r>
    </w:p>
    <w:p>
      <w:pPr>
        <w:pStyle w:val="Normal"/>
        <w:numPr>
          <w:ilvl w:val="2"/>
          <w:numId w:val="1"/>
        </w:numPr>
        <w:spacing w:lineRule="auto" w:line="276" w:before="120" w:after="120"/>
        <w:ind w:left="1134" w:hanging="0"/>
        <w:jc w:val="both"/>
        <w:rPr>
          <w:rFonts w:ascii="Arial" w:hAnsi="Arial" w:cs="Arial"/>
          <w:sz w:val="20"/>
          <w:szCs w:val="20"/>
        </w:rPr>
      </w:pPr>
      <w:r>
        <w:rPr>
          <w:rFonts w:cs="Arial" w:ascii="Arial" w:hAnsi="Arial"/>
          <w:sz w:val="20"/>
          <w:szCs w:val="20"/>
        </w:rPr>
        <w:t>Não retirar a nota de empenho ou instrumento equivalente no prazo estabelecido pela Administração, sem justificativa aceitável;</w:t>
      </w:r>
    </w:p>
    <w:p>
      <w:pPr>
        <w:pStyle w:val="Normal"/>
        <w:numPr>
          <w:ilvl w:val="2"/>
          <w:numId w:val="1"/>
        </w:numPr>
        <w:spacing w:lineRule="auto" w:line="276" w:before="120" w:after="120"/>
        <w:ind w:left="1134" w:hanging="0"/>
        <w:jc w:val="both"/>
        <w:rPr>
          <w:rFonts w:ascii="Arial" w:hAnsi="Arial" w:cs="Arial"/>
          <w:sz w:val="20"/>
          <w:szCs w:val="20"/>
        </w:rPr>
      </w:pPr>
      <w:r>
        <w:rPr>
          <w:rFonts w:cs="Arial" w:ascii="Arial" w:hAnsi="Arial"/>
          <w:sz w:val="20"/>
          <w:szCs w:val="20"/>
        </w:rPr>
        <w:t>Não aceitar reduzir o seu preço registrado, na hipótese deste se tornar superior àqueles praticados no mercado; ou</w:t>
      </w:r>
    </w:p>
    <w:p>
      <w:pPr>
        <w:pStyle w:val="Normal"/>
        <w:numPr>
          <w:ilvl w:val="2"/>
          <w:numId w:val="1"/>
        </w:numPr>
        <w:spacing w:lineRule="auto" w:line="276" w:before="120" w:after="120"/>
        <w:ind w:left="1134" w:hanging="0"/>
        <w:jc w:val="both"/>
        <w:rPr>
          <w:rFonts w:ascii="Arial" w:hAnsi="Arial" w:cs="Arial"/>
          <w:sz w:val="20"/>
          <w:szCs w:val="20"/>
        </w:rPr>
      </w:pPr>
      <w:r>
        <w:rPr>
          <w:rFonts w:cs="Arial" w:ascii="Arial" w:hAnsi="Arial"/>
          <w:sz w:val="20"/>
          <w:szCs w:val="20"/>
        </w:rPr>
        <w:t>Sofrer sanção administrativa cujo efeito torne-o proibido de celebrar contrato administrativo, alcançando o órgão gerenciador e órgão(s) participante(s).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cancelamento de registros nas hipóteses previstas nos itens 6.7.1, 6.7.2 e 6.7.4 será formalizado por despacho do órgão gerenciador, assegurado o contraditório e a ampla defesa.</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cancelamento do registro de preços poderá ocorrer por fato superveniente, decorrente de caso fortuito ou força maior, que prejudique o cumprimento da ata, devidamente comprovados e justificados:</w:t>
      </w:r>
    </w:p>
    <w:p>
      <w:pPr>
        <w:pStyle w:val="Normal"/>
        <w:numPr>
          <w:ilvl w:val="2"/>
          <w:numId w:val="1"/>
        </w:numPr>
        <w:spacing w:lineRule="auto" w:line="276" w:before="120" w:after="120"/>
        <w:ind w:left="1134" w:hanging="0"/>
        <w:jc w:val="both"/>
        <w:rPr>
          <w:rFonts w:ascii="Arial" w:hAnsi="Arial" w:cs="Arial"/>
          <w:sz w:val="20"/>
          <w:szCs w:val="20"/>
        </w:rPr>
      </w:pPr>
      <w:r>
        <w:rPr>
          <w:rFonts w:cs="Arial" w:ascii="Arial" w:hAnsi="Arial"/>
          <w:sz w:val="20"/>
          <w:szCs w:val="20"/>
        </w:rPr>
        <w:t>Por razão de interesse público; ou</w:t>
      </w:r>
    </w:p>
    <w:p>
      <w:pPr>
        <w:pStyle w:val="Normal"/>
        <w:numPr>
          <w:ilvl w:val="2"/>
          <w:numId w:val="1"/>
        </w:numPr>
        <w:spacing w:lineRule="auto" w:line="276" w:before="120" w:after="120"/>
        <w:ind w:left="1134" w:hanging="0"/>
        <w:jc w:val="both"/>
        <w:rPr>
          <w:rFonts w:ascii="Arial" w:hAnsi="Arial" w:cs="Arial"/>
          <w:sz w:val="20"/>
          <w:szCs w:val="20"/>
        </w:rPr>
      </w:pPr>
      <w:r>
        <w:rPr>
          <w:rFonts w:cs="Arial" w:ascii="Arial" w:hAnsi="Arial"/>
          <w:sz w:val="20"/>
          <w:szCs w:val="20"/>
        </w:rPr>
        <w:t>A pedido do fornecedor.</w:t>
      </w:r>
    </w:p>
    <w:p>
      <w:pPr>
        <w:pStyle w:val="Nivel1"/>
        <w:numPr>
          <w:ilvl w:val="0"/>
          <w:numId w:val="1"/>
        </w:numPr>
        <w:ind w:left="357" w:hanging="357"/>
        <w:rPr/>
      </w:pPr>
      <w:r>
        <w:rPr/>
        <w:t>DAS PENALIDADES</w:t>
      </w:r>
    </w:p>
    <w:p>
      <w:pPr>
        <w:pStyle w:val="Normal"/>
        <w:numPr>
          <w:ilvl w:val="1"/>
          <w:numId w:val="1"/>
        </w:numPr>
        <w:spacing w:lineRule="auto" w:line="276" w:before="120" w:after="120"/>
        <w:ind w:left="425" w:hanging="0"/>
        <w:jc w:val="both"/>
        <w:rPr>
          <w:rFonts w:ascii="Arial" w:hAnsi="Arial" w:cs="Arial"/>
          <w:iCs/>
          <w:sz w:val="20"/>
          <w:szCs w:val="20"/>
        </w:rPr>
      </w:pPr>
      <w:r>
        <w:rPr>
          <w:rFonts w:cs="Arial" w:ascii="Arial" w:hAnsi="Arial"/>
          <w:iCs/>
          <w:sz w:val="20"/>
          <w:szCs w:val="20"/>
        </w:rPr>
        <w:t>O descumprimento da Ata de Registro de Preços ensejará aplicação das penalidades estabelecidas no Edital.</w:t>
      </w:r>
    </w:p>
    <w:p>
      <w:pPr>
        <w:pStyle w:val="Normal"/>
        <w:widowControl/>
        <w:numPr>
          <w:ilvl w:val="2"/>
          <w:numId w:val="1"/>
        </w:numPr>
        <w:bidi w:val="0"/>
        <w:spacing w:lineRule="auto" w:line="276" w:before="120" w:after="120"/>
        <w:ind w:left="1531" w:right="0" w:hanging="510"/>
        <w:jc w:val="both"/>
        <w:rPr>
          <w:highlight w:val="none"/>
          <w:shd w:fill="FFFFFF" w:val="clear"/>
        </w:rPr>
      </w:pPr>
      <w:r>
        <w:rPr>
          <w:rFonts w:cs="Arial" w:ascii="Arial" w:hAnsi="Arial"/>
          <w:color w:val="000000"/>
          <w:sz w:val="20"/>
          <w:szCs w:val="20"/>
          <w:shd w:fill="FFFFFF" w:val="clear"/>
        </w:rPr>
        <w:t xml:space="preserve">As sanções do item acima também se aplicam aos integrantes do cadastro de reserva, em pregão para registro de preços que, convocados, não honrarem o compromisso assumido injustificadamente, nos termos do art. 49, §1º do Decreto nº 10.024/19. </w:t>
      </w:r>
    </w:p>
    <w:p>
      <w:pPr>
        <w:pStyle w:val="Normal"/>
        <w:numPr>
          <w:ilvl w:val="1"/>
          <w:numId w:val="1"/>
        </w:numPr>
        <w:spacing w:lineRule="auto" w:line="276" w:before="120" w:after="120"/>
        <w:ind w:left="425" w:hanging="0"/>
        <w:jc w:val="both"/>
        <w:rPr>
          <w:rFonts w:ascii="Arial" w:hAnsi="Arial" w:cs="Arial"/>
          <w:iCs/>
          <w:sz w:val="20"/>
          <w:szCs w:val="20"/>
        </w:rPr>
      </w:pPr>
      <w:r>
        <w:rPr>
          <w:rFonts w:cs="Arial" w:ascii="Arial" w:hAnsi="Arial"/>
          <w:iCs/>
          <w:sz w:val="20"/>
          <w:szCs w:val="20"/>
        </w:rPr>
        <w:t>É da competência do órgão gerenciador a aplicação das penalidades decorrentes do descumprimento do pactuado nesta ata de registro de preço (art. 7º, inciso XIV, do Decreto nº 11.462/2023), exceto nas hipóteses em que o descumprimento disser respeito às contratações dos órgãos participantes, caso no qual caberá ao respectivo órgão participante a aplicação da penalidade (art. 6º, Inciso IX, do Decreto nº 11.462/2023).</w:t>
      </w:r>
    </w:p>
    <w:p>
      <w:pPr>
        <w:pStyle w:val="Normal"/>
        <w:numPr>
          <w:ilvl w:val="1"/>
          <w:numId w:val="1"/>
        </w:numPr>
        <w:spacing w:lineRule="auto" w:line="276" w:before="120" w:after="120"/>
        <w:ind w:left="425" w:hanging="0"/>
        <w:jc w:val="both"/>
        <w:rPr>
          <w:rFonts w:ascii="Arial" w:hAnsi="Arial" w:cs="Arial"/>
          <w:iCs/>
          <w:sz w:val="20"/>
          <w:szCs w:val="20"/>
        </w:rPr>
      </w:pPr>
      <w:r>
        <w:rPr>
          <w:rFonts w:cs="Arial" w:ascii="Arial" w:hAnsi="Arial"/>
          <w:iCs/>
          <w:strike w:val="false"/>
          <w:dstrike w:val="false"/>
          <w:sz w:val="20"/>
          <w:szCs w:val="20"/>
        </w:rPr>
        <w:t>O órgão participante</w:t>
      </w:r>
      <w:r>
        <w:rPr>
          <w:rFonts w:cs="Arial" w:ascii="Arial" w:hAnsi="Arial"/>
          <w:iCs/>
          <w:sz w:val="20"/>
          <w:szCs w:val="20"/>
        </w:rPr>
        <w:t xml:space="preserve"> deverá comunicar ao órgão gerenciador qualquer das ocorrências previstas no art. 28 do Decreto nº 11.462/2023, dada a necessidade de instauração de procedimento para cancelamento do registro do fornecedor.</w:t>
      </w:r>
    </w:p>
    <w:p>
      <w:pPr>
        <w:pStyle w:val="Normal"/>
        <w:widowControl w:val="false"/>
        <w:ind w:left="360" w:hanging="0"/>
        <w:jc w:val="both"/>
        <w:rPr>
          <w:rFonts w:ascii="Arial" w:hAnsi="Arial" w:cs="Arial"/>
          <w:b/>
          <w:b/>
          <w:iCs/>
          <w:sz w:val="20"/>
          <w:szCs w:val="20"/>
        </w:rPr>
      </w:pPr>
      <w:r>
        <w:rPr>
          <w:rFonts w:cs="Arial" w:ascii="Arial" w:hAnsi="Arial"/>
          <w:b/>
          <w:iCs/>
          <w:sz w:val="20"/>
          <w:szCs w:val="20"/>
        </w:rPr>
      </w:r>
    </w:p>
    <w:p>
      <w:pPr>
        <w:pStyle w:val="Normal"/>
        <w:widowControl w:val="false"/>
        <w:numPr>
          <w:ilvl w:val="0"/>
          <w:numId w:val="1"/>
        </w:numPr>
        <w:jc w:val="both"/>
        <w:rPr>
          <w:rFonts w:ascii="Arial" w:hAnsi="Arial" w:cs="Arial"/>
          <w:b/>
          <w:b/>
          <w:iCs/>
          <w:sz w:val="20"/>
          <w:szCs w:val="20"/>
        </w:rPr>
      </w:pPr>
      <w:r>
        <w:rPr>
          <w:rFonts w:cs="Arial" w:ascii="Arial" w:hAnsi="Arial"/>
          <w:b/>
          <w:bCs/>
          <w:iCs/>
          <w:sz w:val="20"/>
          <w:szCs w:val="20"/>
        </w:rPr>
        <w:t>CONDIÇÕES GERAIS</w:t>
      </w:r>
    </w:p>
    <w:p>
      <w:pPr>
        <w:pStyle w:val="Normal"/>
        <w:numPr>
          <w:ilvl w:val="1"/>
          <w:numId w:val="1"/>
        </w:numPr>
        <w:spacing w:lineRule="auto" w:line="276" w:before="120" w:after="120"/>
        <w:ind w:left="425" w:hanging="0"/>
        <w:jc w:val="both"/>
        <w:rPr>
          <w:rFonts w:ascii="Arial" w:hAnsi="Arial" w:cs="Arial"/>
          <w:iCs/>
          <w:sz w:val="20"/>
          <w:szCs w:val="20"/>
        </w:rPr>
      </w:pPr>
      <w:r>
        <w:rPr>
          <w:rFonts w:cs="Arial" w:ascii="Arial" w:hAnsi="Arial"/>
          <w:iCs/>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iCs/>
          <w:sz w:val="20"/>
          <w:szCs w:val="20"/>
        </w:rPr>
        <w:t>É vedado efetuar acréscimos nos quantitativos fixados nesta ata de registro de preços, inclusive o acréscimo de que trata do art</w:t>
      </w:r>
      <w:r>
        <w:rPr>
          <w:rFonts w:cs="Arial" w:ascii="Arial" w:hAnsi="Arial"/>
          <w:sz w:val="20"/>
          <w:szCs w:val="20"/>
        </w:rPr>
        <w:t>. 125 da Lei nº 14.133/21, nos termos do art. 23, do Decreto nº 11.462/23.</w:t>
      </w:r>
    </w:p>
    <w:p>
      <w:pPr>
        <w:pStyle w:val="Normal"/>
        <w:numPr>
          <w:ilvl w:val="1"/>
          <w:numId w:val="1"/>
        </w:numPr>
        <w:spacing w:lineRule="auto" w:line="276" w:before="120" w:after="120"/>
        <w:ind w:left="425" w:hanging="0"/>
        <w:jc w:val="both"/>
        <w:rPr>
          <w:rFonts w:ascii="Arial" w:hAnsi="Arial" w:cs="Arial"/>
          <w:iCs/>
          <w:sz w:val="20"/>
          <w:szCs w:val="20"/>
        </w:rPr>
      </w:pPr>
      <w:r>
        <w:rPr>
          <w:rFonts w:cs="Arial" w:ascii="Arial" w:hAnsi="Arial"/>
          <w:iCs/>
          <w:sz w:val="20"/>
          <w:szCs w:val="20"/>
        </w:rPr>
        <w:t>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pPr>
        <w:pStyle w:val="Normal"/>
        <w:widowControl w:val="false"/>
        <w:ind w:right="-15" w:hanging="0"/>
        <w:jc w:val="both"/>
        <w:rPr>
          <w:rFonts w:ascii="Arial" w:hAnsi="Arial" w:cs="Arial"/>
          <w:sz w:val="20"/>
          <w:szCs w:val="20"/>
        </w:rPr>
      </w:pPr>
      <w:r>
        <w:rPr>
          <w:rFonts w:cs="Arial" w:ascii="Arial" w:hAnsi="Arial"/>
          <w:sz w:val="20"/>
          <w:szCs w:val="20"/>
        </w:rPr>
      </w:r>
    </w:p>
    <w:p>
      <w:pPr>
        <w:pStyle w:val="Normal"/>
        <w:widowControl w:val="false"/>
        <w:ind w:right="-15" w:hanging="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ind w:right="-30" w:hanging="0"/>
        <w:jc w:val="center"/>
        <w:rPr>
          <w:rFonts w:ascii="Arial" w:hAnsi="Arial" w:cs="Arial"/>
          <w:sz w:val="20"/>
          <w:szCs w:val="20"/>
        </w:rPr>
      </w:pPr>
      <w:r>
        <w:rPr>
          <w:rFonts w:cs="Arial" w:ascii="Arial" w:hAnsi="Arial"/>
          <w:sz w:val="20"/>
          <w:szCs w:val="20"/>
        </w:rPr>
        <w:t>Local e data</w:t>
      </w:r>
    </w:p>
    <w:p>
      <w:pPr>
        <w:pStyle w:val="Normal"/>
        <w:widowControl w:val="false"/>
        <w:ind w:right="-30" w:hanging="0"/>
        <w:jc w:val="center"/>
        <w:rPr>
          <w:rFonts w:ascii="Arial" w:hAnsi="Arial" w:cs="Arial"/>
          <w:sz w:val="20"/>
          <w:szCs w:val="20"/>
        </w:rPr>
      </w:pPr>
      <w:r>
        <w:rPr>
          <w:rFonts w:cs="Arial" w:ascii="Arial" w:hAnsi="Arial"/>
          <w:sz w:val="20"/>
          <w:szCs w:val="20"/>
        </w:rPr>
        <w:t>Assinaturas</w:t>
      </w:r>
    </w:p>
    <w:p>
      <w:pPr>
        <w:pStyle w:val="Normal"/>
        <w:widowControl w:val="false"/>
        <w:ind w:right="-30" w:hanging="0"/>
        <w:jc w:val="center"/>
        <w:rPr>
          <w:rFonts w:ascii="Arial" w:hAnsi="Arial" w:cs="Arial"/>
          <w:sz w:val="20"/>
          <w:szCs w:val="20"/>
        </w:rPr>
      </w:pPr>
      <w:r>
        <w:rPr>
          <w:rFonts w:cs="Arial" w:ascii="Arial" w:hAnsi="Arial"/>
          <w:sz w:val="20"/>
          <w:szCs w:val="20"/>
        </w:rPr>
      </w:r>
    </w:p>
    <w:p>
      <w:pPr>
        <w:pStyle w:val="Normal"/>
        <w:widowControl w:val="false"/>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sectPr>
      <w:footerReference w:type="default" r:id="rId3"/>
      <w:type w:val="nextPage"/>
      <w:pgSz w:w="11906" w:h="16838"/>
      <w:pgMar w:left="1701" w:right="1134"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 xml:space="preserve">Ata de Registro de Preços – modelo – pregão compras </w:t>
    </w:r>
  </w:p>
  <w:p>
    <w:pPr>
      <w:pStyle w:val="Rodap"/>
      <w:rPr>
        <w:rFonts w:ascii="Arial" w:hAnsi="Arial" w:cs="Arial"/>
      </w:rPr>
    </w:pPr>
    <w:r>
      <w:rPr>
        <w:rFonts w:cs="Arial" w:ascii="Arial" w:hAnsi="Arial"/>
        <w:sz w:val="12"/>
        <w:szCs w:val="12"/>
      </w:rPr>
      <w:t>Atualização:  Dezembro/2019</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effect w:val="none"/>
        <w:szCs w:val="20"/>
        <w:rFonts w:ascii="Arial" w:hAnsi="Arial" w:cs="Arial"/>
        <w:color w:val="auto"/>
      </w:rPr>
    </w:lvl>
    <w:lvl w:ilvl="2">
      <w:start w:val="1"/>
      <w:numFmt w:val="decimal"/>
      <w:lvlText w:val="%1.%2.%3."/>
      <w:lvlJc w:val="left"/>
      <w:pPr>
        <w:tabs>
          <w:tab w:val="num" w:pos="0"/>
        </w:tabs>
        <w:ind w:left="1638" w:hanging="504"/>
      </w:pPr>
      <w:rPr>
        <w:dstrike w:val="false"/>
        <w:strike w:val="false"/>
        <w:sz w:val="20"/>
        <w:i w:val="false"/>
        <w:u w:val="none"/>
        <w:b w:val="false"/>
        <w:effect w:val="non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qFormat/>
    <w:rsid w:val="001f6040"/>
    <w:pPr>
      <w:numPr>
        <w:ilvl w:val="0"/>
        <w:numId w:val="2"/>
      </w:numPr>
      <w:tabs>
        <w:tab w:val="clear" w:pos="708"/>
        <w:tab w:val="left" w:pos="360" w:leader="none"/>
        <w:tab w:val="left" w:pos="567" w:leader="none"/>
      </w:tabs>
      <w:spacing w:before="240" w:after="0"/>
      <w:ind w:left="0" w:hanging="0"/>
      <w:jc w:val="both"/>
    </w:pPr>
    <w:rPr>
      <w:rFonts w:ascii="Ecofont_Spranq_eco_Sans" w:hAnsi="Ecofont_Spranq_eco_Sans" w:cs="Times New Roman"/>
      <w:color w:val="000000"/>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3.xml><?xml version="1.0" encoding="utf-8"?>
<ds:datastoreItem xmlns:ds="http://schemas.openxmlformats.org/officeDocument/2006/customXml" ds:itemID="{944E0A7D-1135-4C98-9520-65D4F26D0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Application>LibreOffice/7.3.7.2$Windows_X86_64 LibreOffice_project/e114eadc50a9ff8d8c8a0567d6da8f454beeb84f</Application>
  <AppVersion>15.0000</AppVersion>
  <Pages>4</Pages>
  <Words>1555</Words>
  <Characters>8828</Characters>
  <CharactersWithSpaces>10283</CharactersWithSpaces>
  <Paragraphs>77</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2020-01-14T19:28:00Z</dcterms:created>
  <dc:creator>CONJUR-MP</dc:creator>
  <dc:description>Texto idêntico ao modelo de serviços, salvo pela especificação do objeto contratado e da respectiva nota explicativa.</dc:description>
  <dc:language>pt-BR</dc:language>
  <cp:lastModifiedBy/>
  <dcterms:modified xsi:type="dcterms:W3CDTF">2023-08-08T14:25:10Z</dcterms:modified>
  <cp:revision>6</cp:revision>
  <dc:subject/>
  <dc:title>MODELO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2048">
    <vt:lpwstr>44</vt:lpwstr>
  </property>
  <property fmtid="{D5CDD505-2E9C-101B-9397-08002B2CF9AE}" pid="3" name="ContentTypeId">
    <vt:lpwstr>0x01010012A2765E7DFD38469B2E626874CD0041</vt:lpwstr>
  </property>
</Properties>
</file>